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2E020B5B" w:rsidR="00BA5A07" w:rsidRPr="00BA5A07" w:rsidRDefault="00BA5A07" w:rsidP="00BA5A07">
      <w:pPr>
        <w:jc w:val="center"/>
        <w:rPr>
          <w:rFonts w:ascii="Book Antiqua" w:hAnsi="Book Antiqua" w:cs="Arial"/>
          <w:b/>
          <w:bCs/>
          <w:color w:val="365F91" w:themeColor="accent1" w:themeShade="BF"/>
          <w:sz w:val="22"/>
          <w:szCs w:val="22"/>
        </w:rPr>
      </w:pPr>
      <w:r w:rsidRPr="00BA5A07">
        <w:rPr>
          <w:rFonts w:ascii="Book Antiqua" w:hAnsi="Book Antiqua" w:cs="Arial"/>
          <w:b/>
          <w:bCs/>
          <w:color w:val="365F91" w:themeColor="accent1" w:themeShade="BF"/>
          <w:sz w:val="22"/>
          <w:szCs w:val="22"/>
        </w:rPr>
        <w:t>Appointment of Independent Engineer for “</w:t>
      </w:r>
      <w:r w:rsidR="008644B6" w:rsidRPr="008644B6">
        <w:rPr>
          <w:rFonts w:ascii="Book Antiqua" w:hAnsi="Book Antiqua" w:cs="Arial"/>
          <w:b/>
          <w:bCs/>
          <w:color w:val="365F91" w:themeColor="accent1" w:themeShade="BF"/>
          <w:sz w:val="22"/>
          <w:szCs w:val="22"/>
        </w:rPr>
        <w:t>Augmentation of transformation capacity at Banaskantha (Raghanesda) PS (GIS)</w:t>
      </w:r>
      <w:r w:rsidRPr="00BA5A07">
        <w:rPr>
          <w:rFonts w:ascii="Book Antiqua" w:hAnsi="Book Antiqua" w:cs="Arial"/>
          <w:b/>
          <w:bCs/>
          <w:color w:val="365F91" w:themeColor="accent1" w:themeShade="BF"/>
          <w:sz w:val="22"/>
          <w:szCs w:val="22"/>
        </w:rPr>
        <w:t>”.</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368BB3C6"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w:t>
      </w:r>
      <w:r w:rsidR="009A2B5D">
        <w:rPr>
          <w:rFonts w:ascii="Book Antiqua" w:hAnsi="Book Antiqua" w:cs="Arial"/>
          <w:b/>
          <w:bCs/>
          <w:color w:val="365F91" w:themeColor="accent1" w:themeShade="BF"/>
          <w:sz w:val="22"/>
          <w:szCs w:val="22"/>
        </w:rPr>
        <w:t>Spec. No. CTUIL/IE/2025-26/7</w:t>
      </w:r>
      <w:r w:rsidR="008644B6">
        <w:rPr>
          <w:rFonts w:ascii="Book Antiqua" w:hAnsi="Book Antiqua" w:cs="Arial"/>
          <w:b/>
          <w:bCs/>
          <w:color w:val="365F91" w:themeColor="accent1" w:themeShade="BF"/>
          <w:sz w:val="22"/>
          <w:szCs w:val="22"/>
        </w:rPr>
        <w:t>4</w:t>
      </w:r>
      <w:r w:rsidR="009A2B5D">
        <w:rPr>
          <w:rFonts w:ascii="Book Antiqua" w:hAnsi="Book Antiqua" w:cs="Arial"/>
          <w:b/>
          <w:bCs/>
          <w:color w:val="365F91" w:themeColor="accent1" w:themeShade="BF"/>
          <w:sz w:val="22"/>
          <w:szCs w:val="22"/>
        </w:rPr>
        <w:t>/R1</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Bidders may note that the Employer has uploaded its 'Works &amp; Procurement Policy and Procedure’ (Vol.-I &amp; II) along with its Updation/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lastRenderedPageBreak/>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(ToR), Section-II of RfP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482B8E31" w14:textId="77777777" w:rsidR="008644B6" w:rsidRDefault="008644B6" w:rsidP="007D159B">
      <w:pPr>
        <w:ind w:left="851"/>
        <w:jc w:val="both"/>
        <w:rPr>
          <w:rFonts w:ascii="Book Antiqua" w:hAnsi="Book Antiqua" w:cs="Arial"/>
          <w:sz w:val="22"/>
          <w:szCs w:val="22"/>
        </w:rPr>
      </w:pPr>
    </w:p>
    <w:p w14:paraId="32798AE4" w14:textId="77777777" w:rsidR="008644B6" w:rsidRDefault="008644B6"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p>
    <w:p w14:paraId="65F171DA" w14:textId="4281C965" w:rsidR="00571274" w:rsidRDefault="00135A86" w:rsidP="008C1547">
      <w:pPr>
        <w:ind w:left="1134" w:hanging="1003"/>
        <w:jc w:val="both"/>
        <w:rPr>
          <w:rFonts w:ascii="Book Antiqua" w:hAnsi="Book Antiqua" w:cs="Arial"/>
          <w:bCs/>
          <w:strike/>
          <w:sz w:val="22"/>
          <w:szCs w:val="22"/>
        </w:rPr>
      </w:pPr>
      <w:r w:rsidRPr="00037156">
        <w:rPr>
          <w:rFonts w:ascii="Book Antiqua" w:hAnsi="Book Antiqua" w:cs="Arial"/>
          <w:bCs/>
          <w:strike/>
          <w:sz w:val="22"/>
          <w:szCs w:val="22"/>
        </w:rPr>
        <w:t xml:space="preserve"> </w:t>
      </w:r>
    </w:p>
    <w:p w14:paraId="007C137D" w14:textId="198061BB" w:rsidR="00F25C6C"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1F4AD5" w:rsidRPr="001F4AD5">
        <w:rPr>
          <w:rFonts w:ascii="Book Antiqua" w:hAnsi="Book Antiqua"/>
          <w:sz w:val="22"/>
          <w:szCs w:val="22"/>
        </w:rPr>
        <w:t>The bidder shall not engage same Project Manager, Transmission line Expert &amp; Substation Expert in more than 4 (four) nos. of active contracts</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6F7B913B" w14:textId="77777777" w:rsidR="001F4AD5" w:rsidRDefault="001F4AD5" w:rsidP="008C1547">
      <w:pPr>
        <w:ind w:left="1134" w:hanging="1003"/>
        <w:jc w:val="both"/>
        <w:rPr>
          <w:rFonts w:ascii="Book Antiqua" w:hAnsi="Book Antiqua"/>
          <w:sz w:val="22"/>
          <w:szCs w:val="22"/>
        </w:rPr>
      </w:pPr>
    </w:p>
    <w:p w14:paraId="0C4958E5"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 xml:space="preserve">Note: </w:t>
      </w:r>
    </w:p>
    <w:p w14:paraId="74E3F193" w14:textId="77777777" w:rsidR="0067156D" w:rsidRPr="0067156D" w:rsidRDefault="0067156D" w:rsidP="0067156D">
      <w:pPr>
        <w:ind w:left="1134" w:hanging="1003"/>
        <w:jc w:val="both"/>
        <w:rPr>
          <w:rFonts w:ascii="Book Antiqua" w:hAnsi="Book Antiqua"/>
          <w:sz w:val="22"/>
          <w:szCs w:val="22"/>
        </w:rPr>
      </w:pPr>
    </w:p>
    <w:p w14:paraId="67B790EE"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(i)</w:t>
      </w:r>
      <w:r w:rsidRPr="0067156D">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083FF679" w14:textId="77777777" w:rsidR="0067156D" w:rsidRPr="0067156D" w:rsidRDefault="0067156D" w:rsidP="0067156D">
      <w:pPr>
        <w:ind w:left="1134" w:hanging="1003"/>
        <w:jc w:val="both"/>
        <w:rPr>
          <w:rFonts w:ascii="Book Antiqua" w:hAnsi="Book Antiqua"/>
          <w:sz w:val="22"/>
          <w:szCs w:val="22"/>
        </w:rPr>
      </w:pPr>
    </w:p>
    <w:p w14:paraId="18DF24AD"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(ii)</w:t>
      </w:r>
      <w:r w:rsidRPr="0067156D">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438EB479" w14:textId="77777777" w:rsidR="0067156D" w:rsidRPr="0067156D" w:rsidRDefault="0067156D" w:rsidP="0067156D">
      <w:pPr>
        <w:ind w:left="1134" w:hanging="1003"/>
        <w:jc w:val="both"/>
        <w:rPr>
          <w:rFonts w:ascii="Book Antiqua" w:hAnsi="Book Antiqua"/>
          <w:sz w:val="22"/>
          <w:szCs w:val="22"/>
        </w:rPr>
      </w:pPr>
    </w:p>
    <w:p w14:paraId="54AE6591" w14:textId="77777777" w:rsidR="0067156D" w:rsidRPr="0067156D" w:rsidRDefault="0067156D" w:rsidP="0067156D">
      <w:pPr>
        <w:ind w:left="1134" w:hanging="1003"/>
        <w:jc w:val="both"/>
        <w:rPr>
          <w:rFonts w:ascii="Book Antiqua" w:hAnsi="Book Antiqua"/>
          <w:sz w:val="22"/>
          <w:szCs w:val="22"/>
        </w:rPr>
      </w:pPr>
      <w:r w:rsidRPr="0067156D">
        <w:rPr>
          <w:rFonts w:ascii="Book Antiqua" w:hAnsi="Book Antiqua"/>
          <w:sz w:val="22"/>
          <w:szCs w:val="22"/>
        </w:rPr>
        <w:t>(iii)</w:t>
      </w:r>
      <w:r w:rsidRPr="0067156D">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67156D" w:rsidRDefault="0067156D" w:rsidP="0067156D">
      <w:pPr>
        <w:ind w:left="1134" w:hanging="1003"/>
        <w:jc w:val="both"/>
        <w:rPr>
          <w:rFonts w:ascii="Book Antiqua" w:hAnsi="Book Antiqua"/>
          <w:sz w:val="22"/>
          <w:szCs w:val="22"/>
        </w:rPr>
      </w:pPr>
    </w:p>
    <w:p w14:paraId="1D0281BA" w14:textId="434F8697" w:rsidR="001F4AD5" w:rsidRPr="00BD6B1F" w:rsidRDefault="0067156D" w:rsidP="0067156D">
      <w:pPr>
        <w:ind w:left="1134" w:hanging="1003"/>
        <w:jc w:val="both"/>
        <w:rPr>
          <w:rFonts w:ascii="Book Antiqua" w:hAnsi="Book Antiqua"/>
          <w:sz w:val="22"/>
          <w:szCs w:val="22"/>
        </w:rPr>
      </w:pPr>
      <w:r w:rsidRPr="0067156D">
        <w:rPr>
          <w:rFonts w:ascii="Book Antiqua" w:hAnsi="Book Antiqua"/>
          <w:sz w:val="22"/>
          <w:szCs w:val="22"/>
        </w:rPr>
        <w:t>(iv)</w:t>
      </w:r>
      <w:r w:rsidRPr="0067156D">
        <w:rPr>
          <w:rFonts w:ascii="Book Antiqua" w:hAnsi="Book Antiqua"/>
          <w:sz w:val="22"/>
          <w:szCs w:val="22"/>
        </w:rPr>
        <w:tab/>
      </w:r>
      <w:r w:rsidR="00C31A25" w:rsidRPr="00C31A25">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w:t>
      </w:r>
      <w:r w:rsidR="00AB4447">
        <w:rPr>
          <w:rFonts w:ascii="Book Antiqua" w:hAnsi="Book Antiqua"/>
          <w:sz w:val="22"/>
          <w:szCs w:val="22"/>
        </w:rPr>
        <w:t xml:space="preserve"> key</w:t>
      </w:r>
      <w:r w:rsidRPr="00BD6B1F">
        <w:rPr>
          <w:rFonts w:ascii="Book Antiqua" w:hAnsi="Book Antiqua"/>
          <w:sz w:val="22"/>
          <w:szCs w:val="22"/>
        </w:rPr>
        <w:t xml:space="preserve">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48CEB808" w14:textId="77777777" w:rsidR="008644B6" w:rsidRDefault="008644B6" w:rsidP="00986F89">
      <w:pPr>
        <w:ind w:left="1134" w:hanging="992"/>
        <w:jc w:val="both"/>
        <w:rPr>
          <w:rFonts w:ascii="Book Antiqua" w:hAnsi="Book Antiqua" w:cs="Arial"/>
          <w:sz w:val="22"/>
          <w:szCs w:val="22"/>
        </w:rPr>
      </w:pPr>
    </w:p>
    <w:p w14:paraId="185720DA" w14:textId="77777777" w:rsidR="008644B6" w:rsidRPr="00FC0343" w:rsidRDefault="008644B6" w:rsidP="00986F89">
      <w:pPr>
        <w:ind w:left="1134" w:hanging="992"/>
        <w:jc w:val="both"/>
        <w:rPr>
          <w:rFonts w:ascii="Book Antiqua" w:hAnsi="Book Antiqua" w:cs="Arial"/>
          <w:sz w:val="22"/>
          <w:szCs w:val="22"/>
        </w:rPr>
      </w:pP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lastRenderedPageBreak/>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w:t>
      </w:r>
      <w:r w:rsidRPr="00D96D43">
        <w:rPr>
          <w:rFonts w:ascii="Book Antiqua" w:hAnsi="Book Antiqua" w:cs="Arial"/>
          <w:color w:val="000000"/>
          <w:sz w:val="22"/>
          <w:szCs w:val="22"/>
        </w:rPr>
        <w:lastRenderedPageBreak/>
        <w:t xml:space="preserve">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lastRenderedPageBreak/>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w:t>
            </w:r>
            <w:r w:rsidRPr="00BD65B7">
              <w:rPr>
                <w:rFonts w:ascii="Book Antiqua" w:hAnsi="Book Antiqua" w:cs="Arial"/>
                <w:sz w:val="22"/>
                <w:szCs w:val="22"/>
              </w:rPr>
              <w:lastRenderedPageBreak/>
              <w:t>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lastRenderedPageBreak/>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[(i)to(viii)]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by </w:t>
      </w:r>
      <w:r w:rsidRPr="00221C48">
        <w:rPr>
          <w:rFonts w:ascii="Book Antiqua" w:hAnsi="Book Antiqua" w:cs="Arial"/>
          <w:spacing w:val="-2"/>
          <w:sz w:val="22"/>
          <w:szCs w:val="22"/>
        </w:rPr>
        <w:lastRenderedPageBreak/>
        <w:t>either (i)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RfP Documents. proposal Security shall be valid upto date specified in Special Conditions of Contract (SCC), Section-IV of RfP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furnish the required performance security(ies),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w:t>
      </w:r>
      <w:r w:rsidR="003E7324" w:rsidRPr="00FC0343">
        <w:rPr>
          <w:rFonts w:ascii="Book Antiqua" w:hAnsi="Book Antiqua" w:cs="Arial"/>
          <w:sz w:val="22"/>
          <w:szCs w:val="22"/>
        </w:rPr>
        <w:lastRenderedPageBreak/>
        <w:t xml:space="preserve">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DBFCAF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9C757C">
        <w:rPr>
          <w:rFonts w:ascii="Book Antiqua" w:eastAsiaTheme="minorHAnsi" w:hAnsi="Book Antiqua" w:cstheme="minorBidi"/>
          <w:b/>
          <w:bCs/>
          <w:sz w:val="22"/>
          <w:szCs w:val="22"/>
          <w:lang w:val="en-GB"/>
        </w:rPr>
        <w:t>/</w:t>
      </w:r>
    </w:p>
    <w:p w14:paraId="01CFEC3A" w14:textId="1A58710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 (Engineer,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E83CA0"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w:t>
      </w:r>
      <w:r w:rsidR="005E21DA" w:rsidRPr="00FC0343">
        <w:rPr>
          <w:rFonts w:ascii="Book Antiqua" w:hAnsi="Book Antiqua" w:cs="Arial"/>
          <w:sz w:val="22"/>
          <w:szCs w:val="22"/>
        </w:rPr>
        <w:lastRenderedPageBreak/>
        <w:t xml:space="preserve">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(i),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statement of accounts, Online Payment acknowledgment towards Bid Security (in cases where online payment has been made prior to the deadline for submission of </w:t>
      </w:r>
      <w:r w:rsidRPr="007C118A">
        <w:rPr>
          <w:rFonts w:ascii="Book Antiqua" w:hAnsi="Book Antiqua" w:cs="Arial"/>
        </w:rPr>
        <w:lastRenderedPageBreak/>
        <w:t>hardcopy part of the bids),</w:t>
      </w:r>
      <w:r w:rsidRPr="007C118A">
        <w:rPr>
          <w:rStyle w:val="Strong"/>
          <w:rFonts w:ascii="Book Antiqua" w:hAnsi="Book Antiqua" w:cs="Arial"/>
        </w:rPr>
        <w:t xml:space="preserve">  documentary evidence with regard to registration with designated Authority of GoI under the Public Procurement Policy for MSEs</w:t>
      </w:r>
      <w:r w:rsidRPr="007C118A">
        <w:rPr>
          <w:rFonts w:ascii="Book Antiqua" w:hAnsi="Book Antiqua" w:cs="Arial"/>
          <w:sz w:val="22"/>
          <w:szCs w:val="22"/>
        </w:rPr>
        <w:t xml:space="preserve"> required to be submitted by the Consultant as per the provisions of the RfP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lastRenderedPageBreak/>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lastRenderedPageBreak/>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w:t>
      </w:r>
      <w:r w:rsidR="00A32CC5" w:rsidRPr="00FC0343">
        <w:rPr>
          <w:rFonts w:ascii="Book Antiqua" w:hAnsi="Book Antiqua" w:cs="Arial"/>
          <w:sz w:val="22"/>
          <w:szCs w:val="22"/>
        </w:rPr>
        <w:lastRenderedPageBreak/>
        <w:t>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The Bidder should note that any deviation to RfP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favour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w:t>
      </w:r>
      <w:r w:rsidR="00751AFB" w:rsidRPr="00FC0343">
        <w:rPr>
          <w:rFonts w:ascii="Book Antiqua" w:hAnsi="Book Antiqua" w:cs="Arial"/>
          <w:sz w:val="22"/>
          <w:szCs w:val="22"/>
        </w:rPr>
        <w:lastRenderedPageBreak/>
        <w:t xml:space="preserve">Consultant’s option, be in the form of a crossed bank draft/pay order /banker certified cheque in favour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w:t>
      </w:r>
      <w:r w:rsidR="0023571F" w:rsidRPr="00FC0343">
        <w:rPr>
          <w:rFonts w:ascii="Book Antiqua" w:hAnsi="Book Antiqua" w:cs="Arial"/>
          <w:sz w:val="22"/>
          <w:szCs w:val="22"/>
        </w:rPr>
        <w:lastRenderedPageBreak/>
        <w:t xml:space="preserve">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It is the Employer’s policy that requires the bidder to sign a declaration alongwith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lastRenderedPageBreak/>
        <w:t>will take appropriate measures in line with the above policy if it determines that the bidder recommended for award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TReDS (Trade Receivables Discounting System) platforms namely i.e. RXIL (Receivable Exchange of India Limited), M1-xchange (Mynd Solutions Private Limited) </w:t>
      </w:r>
      <w:r w:rsidR="00B23838" w:rsidRPr="00B23838">
        <w:rPr>
          <w:rFonts w:ascii="Book Antiqua" w:hAnsi="Book Antiqua" w:cs="Arial"/>
          <w:sz w:val="22"/>
          <w:szCs w:val="22"/>
        </w:rPr>
        <w:lastRenderedPageBreak/>
        <w:t>and Invoicemart (A.TreDS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lastRenderedPageBreak/>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 xml:space="preserve">In case of substitution, bidders should note that once the CV of proposed substitution is evaluated, and the experience &amp; qualifications are not better or equivalent to those </w:t>
      </w:r>
      <w:r w:rsidRPr="00F439EB">
        <w:rPr>
          <w:rFonts w:ascii="Book Antiqua" w:hAnsi="Book Antiqua"/>
        </w:rPr>
        <w:lastRenderedPageBreak/>
        <w:t>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reasons which cannot be attributed </w:t>
      </w:r>
      <w:r w:rsidR="002C2D0B" w:rsidRPr="002C2D0B">
        <w:rPr>
          <w:rFonts w:ascii="Book Antiqua" w:hAnsi="Book Antiqua" w:cs="Arial"/>
          <w:sz w:val="22"/>
          <w:szCs w:val="22"/>
        </w:rPr>
        <w:lastRenderedPageBreak/>
        <w:t>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In Charge (EIC), who, within a </w:t>
      </w:r>
      <w:r w:rsidRPr="007C0FE9">
        <w:rPr>
          <w:rFonts w:ascii="Book Antiqua" w:hAnsi="Book Antiqua" w:cs="Arial"/>
          <w:sz w:val="22"/>
          <w:szCs w:val="22"/>
        </w:rPr>
        <w:lastRenderedPageBreak/>
        <w:t>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The decision/instruction of the Engineer In Charge (EIC) shall be deemed to have been accepted by the Contractor unless notified by the Contractor of his intention to refer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All disputes or differences in respect of which the decision, if any, of the Engineer In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arbitration shall be conducted by a sole arbitrator in case the amount of claim is less than Rs. 25 Crore and by three member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The sole Arbitrator shall be chosen from a panel of empanelled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Sl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 Retired High Court/Supreme Court  Judges</w:t>
            </w:r>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lastRenderedPageBreak/>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r w:rsidRPr="007C0FE9">
        <w:rPr>
          <w:rFonts w:ascii="Book Antiqua" w:hAnsi="Book Antiqua" w:cs="Arial"/>
          <w:b/>
          <w:bCs/>
          <w:sz w:val="22"/>
          <w:szCs w:val="22"/>
          <w:u w:val="single"/>
        </w:rPr>
        <w:t>Three member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In case of Sole Arbitrator, the fees to be paid to the sole Arbitrator shall be as per the terms of empanelment in POWERGRID/CTUIL whereas in case of the three member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the majority of the arbitrators, as the case may be, shall be final and binding upon the parties. In the event of any of the sole arbitrator/ any of the </w:t>
      </w:r>
      <w:r w:rsidRPr="007C0FE9">
        <w:rPr>
          <w:rFonts w:ascii="Book Antiqua" w:hAnsi="Book Antiqua" w:cs="Arial"/>
          <w:sz w:val="22"/>
          <w:szCs w:val="22"/>
        </w:rPr>
        <w:lastRenderedPageBreak/>
        <w:t>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dispute so merits, the time period may be extended at the discretion of Conciliation Committee (with reasons to be recorded in writing), for a further period of three months. In case, a particular dispute requires more than 5 sittings, the same may be held at the discretion of the CCIE but with a cap on payment of fee for 5 sittings only. The local transport charges shall, however, be paid as provided for each day of sitting beyond the 5 sittings.</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All expenditure incurred on the conciliation proceedings including payment of fees to the Conciliators, office space, logistic,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 xml:space="preserve">The procedure of CCIE shall not be treated as alternate arbitration proceedings where both parties come with Statement of claims/defence, arguments/counter arguments, rejoinders, </w:t>
      </w:r>
      <w:r w:rsidRPr="007C0FE9">
        <w:rPr>
          <w:rFonts w:ascii="Book Antiqua" w:hAnsi="Book Antiqua" w:cs="Arial"/>
          <w:bCs/>
          <w:sz w:val="22"/>
          <w:szCs w:val="22"/>
        </w:rPr>
        <w:lastRenderedPageBreak/>
        <w:t>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with regard to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work load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After successful conclusion of Conciliation, proceedings, the Parties to the conciliation process, have to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lastRenderedPageBreak/>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The contractor along with their associate/Collaborators/Sub-contractors/sub-vendors/ consultants/ service providers shall observe the highest standard of ethics and shall not indulge or allow anybody else working in their organisation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5AD1A6" w14:textId="77777777" w:rsidR="00AB0D83" w:rsidRDefault="00AB0D83" w:rsidP="003E7F85">
      <w:r>
        <w:separator/>
      </w:r>
    </w:p>
  </w:endnote>
  <w:endnote w:type="continuationSeparator" w:id="0">
    <w:p w14:paraId="5C0A35A2" w14:textId="77777777" w:rsidR="00AB0D83" w:rsidRDefault="00AB0D83" w:rsidP="003E7F85">
      <w:r>
        <w:continuationSeparator/>
      </w:r>
    </w:p>
  </w:endnote>
  <w:endnote w:type="continuationNotice" w:id="1">
    <w:p w14:paraId="57231FF3" w14:textId="77777777" w:rsidR="00AB0D83" w:rsidRDefault="00AB0D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4E693" w14:textId="77777777" w:rsidR="00AB0D83" w:rsidRDefault="00AB0D83" w:rsidP="003E7F85">
      <w:r>
        <w:separator/>
      </w:r>
    </w:p>
  </w:footnote>
  <w:footnote w:type="continuationSeparator" w:id="0">
    <w:p w14:paraId="10B25E88" w14:textId="77777777" w:rsidR="00AB0D83" w:rsidRDefault="00AB0D83" w:rsidP="003E7F85">
      <w:r>
        <w:continuationSeparator/>
      </w:r>
    </w:p>
  </w:footnote>
  <w:footnote w:type="continuationNotice" w:id="1">
    <w:p w14:paraId="4E5D2D99" w14:textId="77777777" w:rsidR="00AB0D83" w:rsidRDefault="00AB0D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92463086">
    <w:abstractNumId w:val="7"/>
  </w:num>
  <w:num w:numId="2" w16cid:durableId="233853280">
    <w:abstractNumId w:val="21"/>
  </w:num>
  <w:num w:numId="3" w16cid:durableId="313491214">
    <w:abstractNumId w:val="6"/>
  </w:num>
  <w:num w:numId="4" w16cid:durableId="1128353841">
    <w:abstractNumId w:val="27"/>
  </w:num>
  <w:num w:numId="5" w16cid:durableId="1410615194">
    <w:abstractNumId w:val="31"/>
  </w:num>
  <w:num w:numId="6" w16cid:durableId="1217274602">
    <w:abstractNumId w:val="5"/>
  </w:num>
  <w:num w:numId="7" w16cid:durableId="755589343">
    <w:abstractNumId w:val="32"/>
  </w:num>
  <w:num w:numId="8" w16cid:durableId="399328005">
    <w:abstractNumId w:val="29"/>
  </w:num>
  <w:num w:numId="9" w16cid:durableId="942802356">
    <w:abstractNumId w:val="20"/>
  </w:num>
  <w:num w:numId="10" w16cid:durableId="1882552281">
    <w:abstractNumId w:val="16"/>
  </w:num>
  <w:num w:numId="11" w16cid:durableId="4090774">
    <w:abstractNumId w:val="1"/>
  </w:num>
  <w:num w:numId="12" w16cid:durableId="1684865035">
    <w:abstractNumId w:val="3"/>
  </w:num>
  <w:num w:numId="13" w16cid:durableId="1359164617">
    <w:abstractNumId w:val="37"/>
  </w:num>
  <w:num w:numId="14" w16cid:durableId="843127911">
    <w:abstractNumId w:val="45"/>
  </w:num>
  <w:num w:numId="15" w16cid:durableId="1046370027">
    <w:abstractNumId w:val="22"/>
  </w:num>
  <w:num w:numId="16" w16cid:durableId="605384850">
    <w:abstractNumId w:val="11"/>
  </w:num>
  <w:num w:numId="17" w16cid:durableId="88165146">
    <w:abstractNumId w:val="38"/>
  </w:num>
  <w:num w:numId="18" w16cid:durableId="1975524578">
    <w:abstractNumId w:val="18"/>
  </w:num>
  <w:num w:numId="19" w16cid:durableId="899485332">
    <w:abstractNumId w:val="39"/>
  </w:num>
  <w:num w:numId="20" w16cid:durableId="578364703">
    <w:abstractNumId w:val="14"/>
  </w:num>
  <w:num w:numId="21" w16cid:durableId="113640782">
    <w:abstractNumId w:val="12"/>
  </w:num>
  <w:num w:numId="22" w16cid:durableId="543324663">
    <w:abstractNumId w:val="35"/>
  </w:num>
  <w:num w:numId="23" w16cid:durableId="21509443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937710">
    <w:abstractNumId w:val="43"/>
  </w:num>
  <w:num w:numId="25" w16cid:durableId="356394635">
    <w:abstractNumId w:val="2"/>
  </w:num>
  <w:num w:numId="26" w16cid:durableId="595747289">
    <w:abstractNumId w:val="19"/>
  </w:num>
  <w:num w:numId="27" w16cid:durableId="25564171">
    <w:abstractNumId w:val="25"/>
  </w:num>
  <w:num w:numId="28" w16cid:durableId="1710371783">
    <w:abstractNumId w:val="34"/>
  </w:num>
  <w:num w:numId="29" w16cid:durableId="1716617032">
    <w:abstractNumId w:val="33"/>
  </w:num>
  <w:num w:numId="30" w16cid:durableId="222832119">
    <w:abstractNumId w:val="28"/>
  </w:num>
  <w:num w:numId="31" w16cid:durableId="1756391317">
    <w:abstractNumId w:val="17"/>
  </w:num>
  <w:num w:numId="32" w16cid:durableId="2141730235">
    <w:abstractNumId w:val="42"/>
  </w:num>
  <w:num w:numId="33" w16cid:durableId="1863201355">
    <w:abstractNumId w:val="40"/>
  </w:num>
  <w:num w:numId="34" w16cid:durableId="1891456355">
    <w:abstractNumId w:val="24"/>
  </w:num>
  <w:num w:numId="35" w16cid:durableId="686103392">
    <w:abstractNumId w:val="15"/>
  </w:num>
  <w:num w:numId="36" w16cid:durableId="2133665594">
    <w:abstractNumId w:val="36"/>
  </w:num>
  <w:num w:numId="37" w16cid:durableId="1145855070">
    <w:abstractNumId w:val="26"/>
  </w:num>
  <w:num w:numId="38" w16cid:durableId="1144853313">
    <w:abstractNumId w:val="30"/>
  </w:num>
  <w:num w:numId="39" w16cid:durableId="1135559079">
    <w:abstractNumId w:val="13"/>
  </w:num>
  <w:num w:numId="40" w16cid:durableId="580287130">
    <w:abstractNumId w:val="41"/>
  </w:num>
  <w:num w:numId="41" w16cid:durableId="1304849467">
    <w:abstractNumId w:val="8"/>
  </w:num>
  <w:num w:numId="42" w16cid:durableId="580220870">
    <w:abstractNumId w:val="4"/>
  </w:num>
  <w:num w:numId="43" w16cid:durableId="1091505177">
    <w:abstractNumId w:val="10"/>
  </w:num>
  <w:num w:numId="44" w16cid:durableId="1876195700">
    <w:abstractNumId w:val="0"/>
  </w:num>
  <w:num w:numId="45" w16cid:durableId="1021199354">
    <w:abstractNumId w:val="44"/>
  </w:num>
  <w:num w:numId="46" w16cid:durableId="124140296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971"/>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4604"/>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4C1"/>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E6EE7"/>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44B6"/>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0D83"/>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CDED-9DA8-4529-A9CD-4EADC206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6075</TotalTime>
  <Pages>44</Pages>
  <Words>16062</Words>
  <Characters>91559</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107407</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388</cp:revision>
  <cp:lastPrinted>2025-08-27T09:42:00Z</cp:lastPrinted>
  <dcterms:created xsi:type="dcterms:W3CDTF">2022-07-12T08:01:00Z</dcterms:created>
  <dcterms:modified xsi:type="dcterms:W3CDTF">2025-08-27T09:42:00Z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